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pBdr>
          <w:bottom w:val="single" w:sz="12" w:space="1" w:color="000000"/>
        </w:pBdr>
        <w:spacing w:lineRule="auto" w:line="240"/>
        <w:jc w:val="both"/>
        <w:rPr>
          <w:rFonts w:ascii="Poppins" w:hAnsi="Poppins" w:eastAsia="Poppins" w:cs="Poppins"/>
          <w:b/>
          <w:bCs/>
          <w:color w:val="FF0000"/>
          <w:sz w:val="50"/>
          <w:szCs w:val="50"/>
        </w:rPr>
      </w:pPr>
      <w:r>
        <w:rPr>
          <w:rFonts w:eastAsia="Poppins" w:cs="Poppins" w:ascii="Poppins" w:hAnsi="Poppins"/>
          <w:b/>
          <w:bCs/>
          <w:color w:val="FF0000"/>
          <w:sz w:val="50"/>
          <w:szCs w:val="50"/>
        </w:rPr>
        <w:t>BLOG DO JOGO RESPONSÁVEL</w:t>
      </w:r>
    </w:p>
    <w:p>
      <w:pPr>
        <w:pStyle w:val="normal1"/>
        <w:pBdr>
          <w:bottom w:val="single" w:sz="12" w:space="1" w:color="000000"/>
        </w:pBdr>
        <w:spacing w:lineRule="auto" w:line="240"/>
        <w:jc w:val="both"/>
        <w:rPr>
          <w:rFonts w:ascii="Poppins" w:hAnsi="Poppins" w:eastAsia="Poppins" w:cs="Poppins"/>
          <w:b/>
          <w:bCs/>
          <w:sz w:val="40"/>
          <w:szCs w:val="40"/>
        </w:rPr>
      </w:pPr>
      <w:r>
        <w:rPr>
          <w:rFonts w:eastAsia="Poppins" w:cs="Poppins" w:ascii="Poppins" w:hAnsi="Poppins"/>
          <w:b/>
          <w:bCs/>
          <w:sz w:val="40"/>
          <w:szCs w:val="40"/>
        </w:rPr>
      </w:r>
    </w:p>
    <w:p>
      <w:pPr>
        <w:pStyle w:val="normal1"/>
        <w:pBdr>
          <w:bottom w:val="single" w:sz="12" w:space="1" w:color="000000"/>
        </w:pBdr>
        <w:spacing w:lineRule="auto" w:line="240"/>
        <w:jc w:val="both"/>
        <w:rPr>
          <w:rFonts w:ascii="Poppins" w:hAnsi="Poppins" w:eastAsia="Poppins" w:cs="Poppins"/>
          <w:u w:val="single"/>
        </w:rPr>
      </w:pPr>
      <w:r>
        <w:rPr>
          <w:rFonts w:eastAsia="Poppins" w:cs="Poppins" w:ascii="Poppins" w:hAnsi="Poppins"/>
          <w:b/>
          <w:bCs/>
          <w:sz w:val="40"/>
          <w:szCs w:val="40"/>
        </w:rPr>
        <w:t>ARTIGO 1</w:t>
      </w:r>
    </w:p>
    <w:p>
      <w:pPr>
        <w:pStyle w:val="Heading3"/>
        <w:keepNext w:val="false"/>
        <w:keepLines w:val="false"/>
        <w:spacing w:lineRule="auto" w:line="240" w:before="0" w:after="0"/>
        <w:jc w:val="both"/>
        <w:rPr>
          <w:rFonts w:ascii="Poppins" w:hAnsi="Poppins" w:eastAsia="Poppins" w:cs="Poppins"/>
          <w:b/>
          <w:bCs/>
          <w:color w:val="000000"/>
          <w:sz w:val="26"/>
          <w:szCs w:val="26"/>
        </w:rPr>
      </w:pPr>
      <w:r>
        <w:rPr>
          <w:rFonts w:eastAsia="Poppins" w:cs="Poppins" w:ascii="Poppins" w:hAnsi="Poppins"/>
          <w:b/>
          <w:bCs/>
          <w:color w:val="000000"/>
          <w:sz w:val="26"/>
          <w:szCs w:val="26"/>
        </w:rPr>
      </w:r>
      <w:bookmarkStart w:id="0" w:name="_mtjy4yh7ayry"/>
      <w:bookmarkStart w:id="1" w:name="_mtjy4yh7ayry"/>
      <w:bookmarkEnd w:id="1"/>
    </w:p>
    <w:p>
      <w:pPr>
        <w:pStyle w:val="Heading3"/>
        <w:keepNext w:val="false"/>
        <w:keepLines w:val="false"/>
        <w:spacing w:lineRule="auto" w:line="240" w:before="0" w:after="0"/>
        <w:jc w:val="both"/>
        <w:rPr>
          <w:rFonts w:ascii="Poppins" w:hAnsi="Poppins" w:eastAsia="Poppins" w:cs="Poppins"/>
          <w:b/>
          <w:bCs/>
          <w:color w:val="000000"/>
          <w:sz w:val="26"/>
          <w:szCs w:val="26"/>
        </w:rPr>
      </w:pPr>
      <w:bookmarkStart w:id="2" w:name="_qwerzeor9824"/>
      <w:bookmarkEnd w:id="2"/>
      <w:r>
        <w:rPr>
          <w:rFonts w:eastAsia="Poppins" w:cs="Poppins" w:ascii="Poppins" w:hAnsi="Poppins"/>
          <w:b/>
          <w:bCs/>
          <w:color w:val="000000"/>
          <w:sz w:val="26"/>
          <w:szCs w:val="26"/>
        </w:rPr>
        <w:t>Jogo Responsável para operadores lotéricos:</w:t>
      </w:r>
    </w:p>
    <w:p>
      <w:pPr>
        <w:pStyle w:val="Heading3"/>
        <w:keepNext w:val="false"/>
        <w:keepLines w:val="false"/>
        <w:spacing w:lineRule="auto" w:line="240" w:before="0" w:after="0"/>
        <w:jc w:val="both"/>
        <w:rPr>
          <w:rFonts w:ascii="Poppins" w:hAnsi="Poppins" w:eastAsia="Poppins" w:cs="Poppins"/>
          <w:b/>
          <w:bCs/>
          <w:color w:val="000000"/>
          <w:sz w:val="26"/>
          <w:szCs w:val="26"/>
        </w:rPr>
      </w:pPr>
      <w:bookmarkStart w:id="3" w:name="_b7bxk2jqq0om"/>
      <w:bookmarkEnd w:id="3"/>
      <w:r>
        <w:rPr>
          <w:rFonts w:eastAsia="Poppins" w:cs="Poppins" w:ascii="Poppins" w:hAnsi="Poppins"/>
          <w:b/>
          <w:bCs/>
          <w:color w:val="000000"/>
          <w:sz w:val="26"/>
          <w:szCs w:val="26"/>
        </w:rPr>
        <w:t>compromisso legal, ético e social</w:t>
      </w:r>
    </w:p>
    <w:p>
      <w:pPr>
        <w:pStyle w:val="normal1"/>
        <w:spacing w:lineRule="auto" w:line="240" w:before="240" w:after="24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  <w:t xml:space="preserve">Empresas que atuam no setor de jogos e apostas não lidam apenas com entretenimento: elas lidam com pessoas, expectativas, dinheiro público e impacto social. Por isso, o conceito de </w:t>
      </w:r>
      <w:r>
        <w:rPr>
          <w:rFonts w:eastAsia="Poppins" w:cs="Poppins" w:ascii="Poppins" w:hAnsi="Poppins"/>
          <w:b/>
          <w:bCs/>
        </w:rPr>
        <w:t>Jogo Responsável</w:t>
      </w:r>
      <w:r>
        <w:rPr>
          <w:rFonts w:eastAsia="Poppins" w:cs="Poppins" w:ascii="Poppins" w:hAnsi="Poppins"/>
        </w:rPr>
        <w:t xml:space="preserve"> não é apenas uma recomendação — é um compromisso legal, ético e institucional que deve orientar toda a atuação dos operadores lotéricos.</w:t>
      </w:r>
    </w:p>
    <w:p>
      <w:pPr>
        <w:pStyle w:val="normal1"/>
        <w:spacing w:lineRule="auto" w:line="240" w:before="240" w:after="240"/>
        <w:jc w:val="both"/>
        <w:rPr>
          <w:rFonts w:ascii="Poppins" w:hAnsi="Poppins" w:eastAsia="Poppins" w:cs="Poppins"/>
          <w:color w:val="1155CC"/>
          <w:u w:val="single"/>
        </w:rPr>
      </w:pPr>
      <w:r>
        <w:rPr>
          <w:rFonts w:eastAsia="Poppins" w:cs="Poppins" w:ascii="Poppins" w:hAnsi="Poppins"/>
        </w:rPr>
        <w:t>Ser um operador autorizado pela Loteria do Estado da Paraíba (Lotep), em conformidade com a Política de Jogo Responsável da Paraíba, significa exercer atividades dentro de um ambiente regulado, transparente e seguro — comprometido com a saúde financeira e mental dos apostadores. Isso inclui a obrigação de adotar práticas para prevenir superendividamento e vícios, proteger menores de 18 anos, garantir clareza nas regras e oferecer mecanismos de autoexclusão ou limitação de apostas, conforme previsto na política vigente.</w:t>
      </w:r>
      <w:hyperlink r:id="rId2">
        <w:r>
          <w:rPr>
            <w:rStyle w:val="Style3"/>
            <w:rFonts w:eastAsia="Poppins" w:cs="Poppins" w:ascii="Poppins" w:hAnsi="Poppins"/>
          </w:rPr>
          <w:t xml:space="preserve"> </w:t>
        </w:r>
      </w:hyperlink>
    </w:p>
    <w:p>
      <w:pPr>
        <w:pStyle w:val="normal1"/>
        <w:spacing w:lineRule="auto" w:line="240" w:before="240" w:after="24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  <w:t xml:space="preserve">Um dos principais pilares do Jogo Responsável para operadores é a </w:t>
      </w:r>
      <w:r>
        <w:rPr>
          <w:rFonts w:eastAsia="Poppins" w:cs="Poppins" w:ascii="Poppins" w:hAnsi="Poppins"/>
          <w:b/>
          <w:bCs/>
        </w:rPr>
        <w:t>prevenção de danos</w:t>
      </w:r>
      <w:r>
        <w:rPr>
          <w:rFonts w:eastAsia="Poppins" w:cs="Poppins" w:ascii="Poppins" w:hAnsi="Poppins"/>
        </w:rPr>
        <w:t>. Isso envolve a implementação de mecanismos de controle, como:</w:t>
      </w:r>
    </w:p>
    <w:p>
      <w:pPr>
        <w:pStyle w:val="normal1"/>
        <w:numPr>
          <w:ilvl w:val="0"/>
          <w:numId w:val="1"/>
        </w:numPr>
        <w:spacing w:lineRule="auto" w:line="240" w:before="240" w:afterAutospacing="0" w:after="0"/>
        <w:ind w:hanging="360" w:start="720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  <w:t>Verificação obrigatória de idade e identidade dos participantes;</w:t>
      </w:r>
    </w:p>
    <w:p>
      <w:pPr>
        <w:pStyle w:val="normal1"/>
        <w:numPr>
          <w:ilvl w:val="0"/>
          <w:numId w:val="1"/>
        </w:numPr>
        <w:spacing w:lineRule="auto" w:line="240" w:beforeAutospacing="0" w:before="0" w:afterAutospacing="0" w:after="0"/>
        <w:ind w:hanging="360" w:start="720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  <w:t>Estabelecimento de limites de apostas e alertas de tempo e valor;</w:t>
      </w:r>
    </w:p>
    <w:p>
      <w:pPr>
        <w:pStyle w:val="normal1"/>
        <w:numPr>
          <w:ilvl w:val="0"/>
          <w:numId w:val="1"/>
        </w:numPr>
        <w:spacing w:lineRule="auto" w:line="240" w:beforeAutospacing="0" w:before="0" w:afterAutospacing="0" w:after="0"/>
        <w:ind w:hanging="360" w:start="720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  <w:t>Ferramentas de autoexclusão e possibilidade de autolimites para o usuário;</w:t>
      </w:r>
    </w:p>
    <w:p>
      <w:pPr>
        <w:pStyle w:val="normal1"/>
        <w:numPr>
          <w:ilvl w:val="0"/>
          <w:numId w:val="1"/>
        </w:numPr>
        <w:spacing w:lineRule="auto" w:line="240" w:beforeAutospacing="0" w:before="0" w:after="240"/>
        <w:ind w:hanging="360" w:start="720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  <w:t>Disponibilização de informações e alertas claros sobre os riscos associados ao jogo excessivo — incluindo a possibilidade de dependência — e incentivos à moderação.</w:t>
      </w:r>
      <w:hyperlink r:id="rId3">
        <w:r>
          <w:rPr>
            <w:rStyle w:val="Style3"/>
            <w:rFonts w:eastAsia="Poppins" w:cs="Poppins" w:ascii="Poppins" w:hAnsi="Poppins"/>
            <w:color w:val="1155CC"/>
            <w:u w:val="single"/>
          </w:rPr>
          <w:br/>
        </w:r>
      </w:hyperlink>
    </w:p>
    <w:p>
      <w:pPr>
        <w:pStyle w:val="normal1"/>
        <w:spacing w:lineRule="auto" w:line="240" w:before="240" w:after="24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  <w:t>Esses recursos demonstram não apenas conformidade com as regras, mas respeito ao consumidor e responsabilidade social.</w:t>
      </w:r>
    </w:p>
    <w:p>
      <w:pPr>
        <w:pStyle w:val="normal1"/>
        <w:spacing w:lineRule="auto" w:line="240" w:before="240" w:after="240"/>
        <w:jc w:val="both"/>
        <w:rPr>
          <w:rFonts w:ascii="Poppins" w:hAnsi="Poppins" w:eastAsia="Poppins" w:cs="Poppins"/>
          <w:color w:val="1155CC"/>
          <w:u w:val="single"/>
        </w:rPr>
      </w:pPr>
      <w:r>
        <w:rPr>
          <w:rFonts w:eastAsia="Poppins" w:cs="Poppins" w:ascii="Poppins" w:hAnsi="Poppins"/>
        </w:rPr>
        <w:t xml:space="preserve">Outro ponto fundamental é a </w:t>
      </w:r>
      <w:r>
        <w:rPr>
          <w:rFonts w:eastAsia="Poppins" w:cs="Poppins" w:ascii="Poppins" w:hAnsi="Poppins"/>
          <w:b/>
          <w:bCs/>
        </w:rPr>
        <w:t>transparência com o apostador</w:t>
      </w:r>
      <w:r>
        <w:rPr>
          <w:rFonts w:eastAsia="Poppins" w:cs="Poppins" w:ascii="Poppins" w:hAnsi="Poppins"/>
        </w:rPr>
        <w:t>. Todas as regras do jogo, probabilidades, formas de pagamento, riscos e condições de participação devem estar claras e acessíveis. Informações confusas, omissas ou enganosas não apenas violam a ética como comprometem a credibilidade do setor, e podem contrariar os princípios da política estadual — que exige informação clara, acessível e precisa aos participantes.</w:t>
      </w:r>
    </w:p>
    <w:p>
      <w:pPr>
        <w:pStyle w:val="normal1"/>
        <w:spacing w:lineRule="auto" w:line="240" w:before="240" w:after="240"/>
        <w:jc w:val="both"/>
        <w:rPr>
          <w:rFonts w:ascii="Poppins" w:hAnsi="Poppins" w:eastAsia="Poppins" w:cs="Poppins"/>
          <w:color w:val="1155CC"/>
          <w:u w:val="single"/>
        </w:rPr>
      </w:pPr>
      <w:r>
        <w:rPr>
          <w:rFonts w:eastAsia="Poppins" w:cs="Poppins" w:ascii="Poppins" w:hAnsi="Poppins"/>
        </w:rPr>
        <w:t>O operador responsável também deve orientar seus parceiros, revendedores e equipes de atendimento sobre como reconhecer sinais de jogo problemático e como conduzir essas situações de forma acolhedora e respeitosa, indicando canais de apoio quando necessário. Isso faz parte do papel de prevenção e proteção coletiva, previsto na Política.</w:t>
      </w:r>
      <w:hyperlink r:id="rId4">
        <w:r>
          <w:rPr>
            <w:rStyle w:val="Style3"/>
            <w:rFonts w:eastAsia="Poppins" w:cs="Poppins" w:ascii="Poppins" w:hAnsi="Poppins"/>
          </w:rPr>
          <w:t xml:space="preserve"> </w:t>
        </w:r>
      </w:hyperlink>
    </w:p>
    <w:p>
      <w:pPr>
        <w:pStyle w:val="normal1"/>
        <w:spacing w:lineRule="auto" w:line="240" w:before="240" w:after="24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  <w:t>Atuar com Jogo Responsável não é um obstáculo ao crescimento do mercado — pelo contrário: é o que garante sua sustentabilidade. Empresas sérias, comprometidas com boas práticas, constroem reputação, confiança pública e longevidade.</w:t>
      </w:r>
    </w:p>
    <w:p>
      <w:pPr>
        <w:pStyle w:val="normal1"/>
        <w:spacing w:lineRule="auto" w:line="240" w:before="240" w:after="24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  <w:t>A Lotep incentiva e valoriza os operadores que compreendem esse papel e atuam não apenas em busca de lucro, mas em alinhamento com o interesse público e o bem-estar da sociedade paraibana.</w:t>
      </w:r>
    </w:p>
    <w:p>
      <w:pPr>
        <w:pStyle w:val="normal1"/>
        <w:jc w:val="both"/>
        <w:rPr>
          <w:rFonts w:ascii="Poppins" w:hAnsi="Poppins" w:eastAsia="Poppins" w:cs="Poppins"/>
          <w:sz w:val="24"/>
          <w:szCs w:val="24"/>
        </w:rPr>
      </w:pPr>
      <w:r>
        <w:rPr>
          <w:rFonts w:eastAsia="Poppins" w:cs="Poppins" w:ascii="Poppins" w:hAnsi="Poppins"/>
          <w:sz w:val="24"/>
          <w:szCs w:val="24"/>
        </w:rPr>
      </w:r>
    </w:p>
    <w:p>
      <w:pPr>
        <w:pStyle w:val="normal1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Poppins">
    <w:charset w:val="01" w:characterSet="utf-8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13" w:fontKey="{0D014A78-CABC-4EF0-12AC-5CD89AEFDE0D}"/>
    <w:embedBold r:id="rId14" w:fontKey="{0E014A78-CABC-4EF0-12AC-5CD89AEFDE0E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auniao.pb.gov.br/servicos/doe/2025-1/outubro/diario-oficial-03-10-2025-portal.pdf/%40%40download/file/Di&#225;rio%20Oficial%2003-10-2025%20Portal.pdf?utm_source=chatgpt.com" TargetMode="External"/><Relationship Id="rId3" Type="http://schemas.openxmlformats.org/officeDocument/2006/relationships/hyperlink" Target="https://www.auniao.pb.gov.br/servicos/doe/2025-1/outubro/diario-oficial-03-10-2025-portal.pdf/%40%40download/file/Di&#225;rio%20Oficial%2003-10-2025%20Portal.pdf?utm_source=chatgpt.com" TargetMode="External"/><Relationship Id="rId4" Type="http://schemas.openxmlformats.org/officeDocument/2006/relationships/hyperlink" Target="https://www.auniao.pb.gov.br/servicos/doe/2025-1/outubro/diario-oficial-03-10-2025-portal.pdf/%40%40download/file/Di&#225;rio%20Oficial%2003-10-2025%20Portal.pdf?utm_source=chatgpt.com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LibreOffice/25.8.2.2$Linux_X86_64 LibreOffice_project/580$Build-2</Application>
  <AppVersion>15.0000</AppVersion>
  <Pages>2</Pages>
  <Words>412</Words>
  <Characters>2384</Characters>
  <CharactersWithSpaces>2785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2025-12-19T14:43:28Z</dcterms:modified>
  <cp:revision>1</cp:revision>
  <dc:subject/>
  <dc:title/>
</cp:coreProperties>
</file>